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3022F9" w14:textId="77777777" w:rsidR="001E632E" w:rsidRPr="001E632E" w:rsidRDefault="001E632E" w:rsidP="001E632E">
      <w:pPr>
        <w:spacing w:before="100" w:beforeAutospacing="1" w:after="100" w:afterAutospacing="1" w:line="300" w:lineRule="atLeast"/>
        <w:jc w:val="center"/>
        <w:outlineLvl w:val="0"/>
        <w:rPr>
          <w:rFonts w:ascii="Calibri" w:eastAsia="Times New Roman" w:hAnsi="Calibri" w:cs="Calibri"/>
          <w:b/>
          <w:bCs/>
          <w:color w:val="4EA72E" w:themeColor="accent6"/>
          <w:kern w:val="36"/>
          <w:sz w:val="36"/>
          <w:szCs w:val="36"/>
          <w:lang w:eastAsia="en-GB"/>
          <w14:ligatures w14:val="none"/>
        </w:rPr>
      </w:pPr>
      <w:r w:rsidRPr="001E632E">
        <w:rPr>
          <w:rFonts w:ascii="Calibri" w:eastAsia="Times New Roman" w:hAnsi="Calibri" w:cs="Calibri"/>
          <w:b/>
          <w:bCs/>
          <w:color w:val="4EA72E" w:themeColor="accent6"/>
          <w:kern w:val="36"/>
          <w:sz w:val="36"/>
          <w:szCs w:val="36"/>
          <w:lang w:eastAsia="en-GB"/>
          <w14:ligatures w14:val="none"/>
        </w:rPr>
        <w:t>Alderman's Green Primary School</w:t>
      </w:r>
    </w:p>
    <w:p w14:paraId="2DBA6487" w14:textId="77777777" w:rsidR="001E632E" w:rsidRPr="001E632E" w:rsidRDefault="001E632E" w:rsidP="001E632E">
      <w:pPr>
        <w:spacing w:before="100" w:beforeAutospacing="1" w:after="100" w:afterAutospacing="1" w:line="300" w:lineRule="atLeast"/>
        <w:jc w:val="center"/>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Statutory Performance Information 2025-2026</w:t>
      </w:r>
    </w:p>
    <w:p w14:paraId="7D0726E7" w14:textId="31DB63BD" w:rsid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t>At Alderman's Green Primary School, we are proud of the progress and achievements of our pupils. Our outcomes reflect our commitment to ensuring every child develops the knowledge, skills and confidence needed to flourish academically, socially and emotionally. The information below provides a summary of our statutory assessment outcomes compared with Coventry Local Authority and National outcomes. </w:t>
      </w:r>
      <w:r w:rsidRPr="001E632E">
        <w:rPr>
          <w:rFonts w:ascii="Calibri" w:eastAsia="Times New Roman" w:hAnsi="Calibri" w:cs="Calibri"/>
          <w:color w:val="000000"/>
          <w:kern w:val="0"/>
          <w:lang w:eastAsia="en-GB"/>
          <w14:ligatures w14:val="none"/>
        </w:rPr>
        <w:t xml:space="preserve"> </w:t>
      </w:r>
    </w:p>
    <w:p w14:paraId="166C5B1D" w14:textId="77777777" w:rsidR="001E632E" w:rsidRPr="001E632E" w:rsidRDefault="001E632E" w:rsidP="001E632E">
      <w:pPr>
        <w:spacing w:before="100" w:beforeAutospacing="1" w:after="100" w:afterAutospacing="1" w:line="300" w:lineRule="atLeast"/>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Early Years Foundation Stage</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3422"/>
        <w:gridCol w:w="1928"/>
        <w:gridCol w:w="1928"/>
        <w:gridCol w:w="1928"/>
      </w:tblGrid>
      <w:tr w:rsidR="001E632E" w:rsidRPr="001E632E" w14:paraId="688A5DCF" w14:textId="77777777" w:rsidTr="001E632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55F0304A" w14:textId="15D72906"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p>
        </w:tc>
        <w:tc>
          <w:tcPr>
            <w:tcW w:w="1898"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7A796F08"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Alderman's Green</w:t>
            </w:r>
          </w:p>
        </w:tc>
        <w:tc>
          <w:tcPr>
            <w:tcW w:w="1898"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FA5722E"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Coventry LA</w:t>
            </w:r>
          </w:p>
        </w:tc>
        <w:tc>
          <w:tcPr>
            <w:tcW w:w="1883"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291A1452"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National</w:t>
            </w:r>
          </w:p>
        </w:tc>
      </w:tr>
      <w:tr w:rsidR="001E632E" w:rsidRPr="001E632E" w14:paraId="0DB1E451"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3DCE1B"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Good Level of Development (GLD)</w:t>
            </w:r>
          </w:p>
        </w:tc>
        <w:tc>
          <w:tcPr>
            <w:tcW w:w="1898" w:type="dxa"/>
            <w:tcBorders>
              <w:top w:val="single" w:sz="6" w:space="0" w:color="E6E6E6"/>
              <w:left w:val="single" w:sz="6" w:space="0" w:color="E6E6E6"/>
              <w:bottom w:val="single" w:sz="6" w:space="0" w:color="E6E6E6"/>
              <w:right w:val="single" w:sz="6" w:space="0" w:color="E6E6E6"/>
            </w:tcBorders>
            <w:vAlign w:val="center"/>
            <w:hideMark/>
          </w:tcPr>
          <w:p w14:paraId="2118979C"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b/>
                <w:bCs/>
                <w:kern w:val="0"/>
                <w:lang w:eastAsia="en-GB"/>
                <w14:ligatures w14:val="none"/>
              </w:rPr>
              <w:t>73%</w:t>
            </w:r>
          </w:p>
        </w:tc>
        <w:tc>
          <w:tcPr>
            <w:tcW w:w="1898" w:type="dxa"/>
            <w:tcBorders>
              <w:top w:val="single" w:sz="6" w:space="0" w:color="E6E6E6"/>
              <w:left w:val="single" w:sz="6" w:space="0" w:color="E6E6E6"/>
              <w:bottom w:val="single" w:sz="6" w:space="0" w:color="E6E6E6"/>
              <w:right w:val="single" w:sz="6" w:space="0" w:color="E6E6E6"/>
            </w:tcBorders>
            <w:vAlign w:val="center"/>
            <w:hideMark/>
          </w:tcPr>
          <w:p w14:paraId="477CFF2F"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67.8%</w:t>
            </w:r>
          </w:p>
        </w:tc>
        <w:tc>
          <w:tcPr>
            <w:tcW w:w="1883" w:type="dxa"/>
            <w:tcBorders>
              <w:top w:val="single" w:sz="6" w:space="0" w:color="E6E6E6"/>
              <w:left w:val="single" w:sz="6" w:space="0" w:color="E6E6E6"/>
              <w:bottom w:val="single" w:sz="6" w:space="0" w:color="E6E6E6"/>
              <w:right w:val="single" w:sz="6" w:space="0" w:color="E6E6E6"/>
            </w:tcBorders>
            <w:vAlign w:val="center"/>
            <w:hideMark/>
          </w:tcPr>
          <w:p w14:paraId="21567ACE"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72.4%</w:t>
            </w:r>
          </w:p>
        </w:tc>
      </w:tr>
    </w:tbl>
    <w:p w14:paraId="53BFDFAF" w14:textId="5B3398FB" w:rsidR="001E632E" w:rsidRP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t>Children achieved outcomes above both Local Authority and National averages, demonstrating the strong foundations established in Early Years. </w:t>
      </w:r>
      <w:r w:rsidRPr="001E632E">
        <w:rPr>
          <w:rFonts w:ascii="Calibri" w:eastAsia="Times New Roman" w:hAnsi="Calibri" w:cs="Calibri"/>
          <w:color w:val="000000"/>
          <w:kern w:val="0"/>
          <w:lang w:eastAsia="en-GB"/>
          <w14:ligatures w14:val="none"/>
        </w:rPr>
        <w:t xml:space="preserve"> </w:t>
      </w:r>
    </w:p>
    <w:p w14:paraId="02F5313E" w14:textId="77777777" w:rsidR="001E632E" w:rsidRPr="001E632E" w:rsidRDefault="001E632E" w:rsidP="001E632E">
      <w:pPr>
        <w:spacing w:before="100" w:beforeAutospacing="1" w:after="100" w:afterAutospacing="1" w:line="300" w:lineRule="atLeast"/>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Year 1 Phonics Screening Check</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1911"/>
        <w:gridCol w:w="2431"/>
        <w:gridCol w:w="2432"/>
        <w:gridCol w:w="2432"/>
      </w:tblGrid>
      <w:tr w:rsidR="001E632E" w:rsidRPr="001E632E" w14:paraId="3A361A14" w14:textId="77777777" w:rsidTr="001E632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36EC3E2" w14:textId="080C7800"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p>
        </w:tc>
        <w:tc>
          <w:tcPr>
            <w:tcW w:w="2401"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B5D7CF6"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Alderman's Green</w:t>
            </w:r>
          </w:p>
        </w:tc>
        <w:tc>
          <w:tcPr>
            <w:tcW w:w="2402"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6C8FBB43"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Coventry LA</w:t>
            </w:r>
          </w:p>
        </w:tc>
        <w:tc>
          <w:tcPr>
            <w:tcW w:w="2387"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610FE7A2"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National</w:t>
            </w:r>
          </w:p>
        </w:tc>
      </w:tr>
      <w:tr w:rsidR="001E632E" w:rsidRPr="001E632E" w14:paraId="21FAF1E8"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933E24"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Expected Standard</w:t>
            </w:r>
          </w:p>
        </w:tc>
        <w:tc>
          <w:tcPr>
            <w:tcW w:w="2401" w:type="dxa"/>
            <w:tcBorders>
              <w:top w:val="single" w:sz="6" w:space="0" w:color="E6E6E6"/>
              <w:left w:val="single" w:sz="6" w:space="0" w:color="E6E6E6"/>
              <w:bottom w:val="single" w:sz="6" w:space="0" w:color="E6E6E6"/>
              <w:right w:val="single" w:sz="6" w:space="0" w:color="E6E6E6"/>
            </w:tcBorders>
            <w:vAlign w:val="center"/>
            <w:hideMark/>
          </w:tcPr>
          <w:p w14:paraId="53C3D2DA"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b/>
                <w:bCs/>
                <w:kern w:val="0"/>
                <w:lang w:eastAsia="en-GB"/>
                <w14:ligatures w14:val="none"/>
              </w:rPr>
              <w:t>83%</w:t>
            </w:r>
          </w:p>
        </w:tc>
        <w:tc>
          <w:tcPr>
            <w:tcW w:w="2402" w:type="dxa"/>
            <w:tcBorders>
              <w:top w:val="single" w:sz="6" w:space="0" w:color="E6E6E6"/>
              <w:left w:val="single" w:sz="6" w:space="0" w:color="E6E6E6"/>
              <w:bottom w:val="single" w:sz="6" w:space="0" w:color="E6E6E6"/>
              <w:right w:val="single" w:sz="6" w:space="0" w:color="E6E6E6"/>
            </w:tcBorders>
            <w:vAlign w:val="center"/>
            <w:hideMark/>
          </w:tcPr>
          <w:p w14:paraId="1A7CE4FE"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79.9%</w:t>
            </w:r>
          </w:p>
        </w:tc>
        <w:tc>
          <w:tcPr>
            <w:tcW w:w="2387" w:type="dxa"/>
            <w:tcBorders>
              <w:top w:val="single" w:sz="6" w:space="0" w:color="E6E6E6"/>
              <w:left w:val="single" w:sz="6" w:space="0" w:color="E6E6E6"/>
              <w:bottom w:val="single" w:sz="6" w:space="0" w:color="E6E6E6"/>
              <w:right w:val="single" w:sz="6" w:space="0" w:color="E6E6E6"/>
            </w:tcBorders>
            <w:vAlign w:val="center"/>
            <w:hideMark/>
          </w:tcPr>
          <w:p w14:paraId="4469980D"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81.9%</w:t>
            </w:r>
          </w:p>
        </w:tc>
      </w:tr>
      <w:tr w:rsidR="001E632E" w:rsidRPr="001E632E" w14:paraId="6881DA9C"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1F1A30"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Average Score</w:t>
            </w:r>
          </w:p>
        </w:tc>
        <w:tc>
          <w:tcPr>
            <w:tcW w:w="2401" w:type="dxa"/>
            <w:tcBorders>
              <w:top w:val="single" w:sz="6" w:space="0" w:color="E6E6E6"/>
              <w:left w:val="single" w:sz="6" w:space="0" w:color="E6E6E6"/>
              <w:bottom w:val="single" w:sz="6" w:space="0" w:color="E6E6E6"/>
              <w:right w:val="single" w:sz="6" w:space="0" w:color="E6E6E6"/>
            </w:tcBorders>
            <w:vAlign w:val="center"/>
            <w:hideMark/>
          </w:tcPr>
          <w:p w14:paraId="4B3C7329"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b/>
                <w:bCs/>
                <w:kern w:val="0"/>
                <w:lang w:eastAsia="en-GB"/>
                <w14:ligatures w14:val="none"/>
              </w:rPr>
              <w:t>34.7</w:t>
            </w:r>
          </w:p>
        </w:tc>
        <w:tc>
          <w:tcPr>
            <w:tcW w:w="2402" w:type="dxa"/>
            <w:tcBorders>
              <w:top w:val="single" w:sz="6" w:space="0" w:color="E6E6E6"/>
              <w:left w:val="single" w:sz="6" w:space="0" w:color="E6E6E6"/>
              <w:bottom w:val="single" w:sz="6" w:space="0" w:color="E6E6E6"/>
              <w:right w:val="single" w:sz="6" w:space="0" w:color="E6E6E6"/>
            </w:tcBorders>
            <w:vAlign w:val="center"/>
            <w:hideMark/>
          </w:tcPr>
          <w:p w14:paraId="691ACFEC"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33.3</w:t>
            </w:r>
          </w:p>
        </w:tc>
        <w:tc>
          <w:tcPr>
            <w:tcW w:w="2387" w:type="dxa"/>
            <w:tcBorders>
              <w:top w:val="single" w:sz="6" w:space="0" w:color="E6E6E6"/>
              <w:left w:val="single" w:sz="6" w:space="0" w:color="E6E6E6"/>
              <w:bottom w:val="single" w:sz="6" w:space="0" w:color="E6E6E6"/>
              <w:right w:val="single" w:sz="6" w:space="0" w:color="E6E6E6"/>
            </w:tcBorders>
            <w:vAlign w:val="center"/>
            <w:hideMark/>
          </w:tcPr>
          <w:p w14:paraId="60FAEA1E" w14:textId="77777777" w:rsid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33.8</w:t>
            </w:r>
          </w:p>
          <w:p w14:paraId="44A77D61"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p>
        </w:tc>
      </w:tr>
    </w:tbl>
    <w:p w14:paraId="6FB0CB5D" w14:textId="539D4CFF" w:rsidR="001E632E" w:rsidRP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t>Phonics outcomes exceeded both Local Authority and National averages, providing children with a secure foundation for future reading success. </w:t>
      </w:r>
      <w:r w:rsidRPr="001E632E">
        <w:rPr>
          <w:rFonts w:ascii="Calibri" w:eastAsia="Times New Roman" w:hAnsi="Calibri" w:cs="Calibri"/>
          <w:color w:val="000000"/>
          <w:kern w:val="0"/>
          <w:lang w:eastAsia="en-GB"/>
          <w14:ligatures w14:val="none"/>
        </w:rPr>
        <w:t xml:space="preserve"> </w:t>
      </w:r>
    </w:p>
    <w:p w14:paraId="6C769F53" w14:textId="77777777" w:rsidR="001E632E" w:rsidRPr="001E632E" w:rsidRDefault="001E632E" w:rsidP="001E632E">
      <w:pPr>
        <w:spacing w:before="100" w:beforeAutospacing="1" w:after="100" w:afterAutospacing="1" w:line="300" w:lineRule="atLeast"/>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Key Stage 2 Outcomes</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3743"/>
        <w:gridCol w:w="1365"/>
        <w:gridCol w:w="1366"/>
        <w:gridCol w:w="1366"/>
        <w:gridCol w:w="1366"/>
      </w:tblGrid>
      <w:tr w:rsidR="001E632E" w:rsidRPr="001E632E" w14:paraId="41B8A60A" w14:textId="77777777" w:rsidTr="001E632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DCB2C9D"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Subject</w:t>
            </w:r>
          </w:p>
        </w:tc>
        <w:tc>
          <w:tcPr>
            <w:tcW w:w="1335"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67B4773"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All Pupils</w:t>
            </w:r>
          </w:p>
        </w:tc>
        <w:tc>
          <w:tcPr>
            <w:tcW w:w="1336"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270B40A"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Mainstream Pupils</w:t>
            </w:r>
          </w:p>
        </w:tc>
        <w:tc>
          <w:tcPr>
            <w:tcW w:w="1336"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08B78C06"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Coventry LA</w:t>
            </w:r>
          </w:p>
        </w:tc>
        <w:tc>
          <w:tcPr>
            <w:tcW w:w="1321"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048371FD"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National</w:t>
            </w:r>
          </w:p>
        </w:tc>
      </w:tr>
      <w:tr w:rsidR="001E632E" w:rsidRPr="001E632E" w14:paraId="280792F5"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C6B123"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Reading</w:t>
            </w:r>
          </w:p>
        </w:tc>
        <w:tc>
          <w:tcPr>
            <w:tcW w:w="1335" w:type="dxa"/>
            <w:tcBorders>
              <w:top w:val="single" w:sz="6" w:space="0" w:color="E6E6E6"/>
              <w:left w:val="single" w:sz="6" w:space="0" w:color="E6E6E6"/>
              <w:bottom w:val="single" w:sz="6" w:space="0" w:color="E6E6E6"/>
              <w:right w:val="single" w:sz="6" w:space="0" w:color="E6E6E6"/>
            </w:tcBorders>
            <w:vAlign w:val="center"/>
            <w:hideMark/>
          </w:tcPr>
          <w:p w14:paraId="58866DF2"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71%</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3834BBC6"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75%</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5A14731E"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71%</w:t>
            </w:r>
          </w:p>
        </w:tc>
        <w:tc>
          <w:tcPr>
            <w:tcW w:w="1321" w:type="dxa"/>
            <w:tcBorders>
              <w:top w:val="single" w:sz="6" w:space="0" w:color="E6E6E6"/>
              <w:left w:val="single" w:sz="6" w:space="0" w:color="E6E6E6"/>
              <w:bottom w:val="single" w:sz="6" w:space="0" w:color="E6E6E6"/>
              <w:right w:val="single" w:sz="6" w:space="0" w:color="E6E6E6"/>
            </w:tcBorders>
            <w:vAlign w:val="center"/>
            <w:hideMark/>
          </w:tcPr>
          <w:p w14:paraId="5D913E15"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75%</w:t>
            </w:r>
          </w:p>
        </w:tc>
      </w:tr>
      <w:tr w:rsidR="001E632E" w:rsidRPr="001E632E" w14:paraId="32F28CA3"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9D86FD"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Writing</w:t>
            </w:r>
          </w:p>
        </w:tc>
        <w:tc>
          <w:tcPr>
            <w:tcW w:w="1335" w:type="dxa"/>
            <w:tcBorders>
              <w:top w:val="single" w:sz="6" w:space="0" w:color="E6E6E6"/>
              <w:left w:val="single" w:sz="6" w:space="0" w:color="E6E6E6"/>
              <w:bottom w:val="single" w:sz="6" w:space="0" w:color="E6E6E6"/>
              <w:right w:val="single" w:sz="6" w:space="0" w:color="E6E6E6"/>
            </w:tcBorders>
            <w:vAlign w:val="center"/>
            <w:hideMark/>
          </w:tcPr>
          <w:p w14:paraId="47506469"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82%</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7228FB70"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85%</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2942FC16"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70%</w:t>
            </w:r>
          </w:p>
        </w:tc>
        <w:tc>
          <w:tcPr>
            <w:tcW w:w="1321" w:type="dxa"/>
            <w:tcBorders>
              <w:top w:val="single" w:sz="6" w:space="0" w:color="E6E6E6"/>
              <w:left w:val="single" w:sz="6" w:space="0" w:color="E6E6E6"/>
              <w:bottom w:val="single" w:sz="6" w:space="0" w:color="E6E6E6"/>
              <w:right w:val="single" w:sz="6" w:space="0" w:color="E6E6E6"/>
            </w:tcBorders>
            <w:vAlign w:val="center"/>
            <w:hideMark/>
          </w:tcPr>
          <w:p w14:paraId="09CDB056"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73%</w:t>
            </w:r>
          </w:p>
        </w:tc>
      </w:tr>
      <w:tr w:rsidR="001E632E" w:rsidRPr="001E632E" w14:paraId="4BF6FC6B"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0A284D"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Mathematics</w:t>
            </w:r>
          </w:p>
        </w:tc>
        <w:tc>
          <w:tcPr>
            <w:tcW w:w="1335" w:type="dxa"/>
            <w:tcBorders>
              <w:top w:val="single" w:sz="6" w:space="0" w:color="E6E6E6"/>
              <w:left w:val="single" w:sz="6" w:space="0" w:color="E6E6E6"/>
              <w:bottom w:val="single" w:sz="6" w:space="0" w:color="E6E6E6"/>
              <w:right w:val="single" w:sz="6" w:space="0" w:color="E6E6E6"/>
            </w:tcBorders>
            <w:vAlign w:val="center"/>
            <w:hideMark/>
          </w:tcPr>
          <w:p w14:paraId="06B8D8B5"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76%</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7C5E5D36"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78%</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4B2AC911"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73%</w:t>
            </w:r>
          </w:p>
        </w:tc>
        <w:tc>
          <w:tcPr>
            <w:tcW w:w="1321" w:type="dxa"/>
            <w:tcBorders>
              <w:top w:val="single" w:sz="6" w:space="0" w:color="E6E6E6"/>
              <w:left w:val="single" w:sz="6" w:space="0" w:color="E6E6E6"/>
              <w:bottom w:val="single" w:sz="6" w:space="0" w:color="E6E6E6"/>
              <w:right w:val="single" w:sz="6" w:space="0" w:color="E6E6E6"/>
            </w:tcBorders>
            <w:vAlign w:val="center"/>
            <w:hideMark/>
          </w:tcPr>
          <w:p w14:paraId="437072F5"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75%</w:t>
            </w:r>
          </w:p>
        </w:tc>
      </w:tr>
      <w:tr w:rsidR="001E632E" w:rsidRPr="001E632E" w14:paraId="4DACCA95"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3E5F6C"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Grammar, Punctuation &amp; Spelling</w:t>
            </w:r>
          </w:p>
        </w:tc>
        <w:tc>
          <w:tcPr>
            <w:tcW w:w="1335" w:type="dxa"/>
            <w:tcBorders>
              <w:top w:val="single" w:sz="6" w:space="0" w:color="E6E6E6"/>
              <w:left w:val="single" w:sz="6" w:space="0" w:color="E6E6E6"/>
              <w:bottom w:val="single" w:sz="6" w:space="0" w:color="E6E6E6"/>
              <w:right w:val="single" w:sz="6" w:space="0" w:color="E6E6E6"/>
            </w:tcBorders>
            <w:vAlign w:val="center"/>
            <w:hideMark/>
          </w:tcPr>
          <w:p w14:paraId="3CDFA82C"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76%</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6B437613"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78%</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1615ABCB"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73%</w:t>
            </w:r>
          </w:p>
        </w:tc>
        <w:tc>
          <w:tcPr>
            <w:tcW w:w="1321" w:type="dxa"/>
            <w:tcBorders>
              <w:top w:val="single" w:sz="6" w:space="0" w:color="E6E6E6"/>
              <w:left w:val="single" w:sz="6" w:space="0" w:color="E6E6E6"/>
              <w:bottom w:val="single" w:sz="6" w:space="0" w:color="E6E6E6"/>
              <w:right w:val="single" w:sz="6" w:space="0" w:color="E6E6E6"/>
            </w:tcBorders>
            <w:vAlign w:val="center"/>
            <w:hideMark/>
          </w:tcPr>
          <w:p w14:paraId="586C4C02"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74%</w:t>
            </w:r>
          </w:p>
        </w:tc>
      </w:tr>
      <w:tr w:rsidR="001E632E" w:rsidRPr="001E632E" w14:paraId="210F92D3"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49882"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Reading, Writing &amp; Mathematics Combined</w:t>
            </w:r>
          </w:p>
        </w:tc>
        <w:tc>
          <w:tcPr>
            <w:tcW w:w="1335" w:type="dxa"/>
            <w:tcBorders>
              <w:top w:val="single" w:sz="6" w:space="0" w:color="E6E6E6"/>
              <w:left w:val="single" w:sz="6" w:space="0" w:color="E6E6E6"/>
              <w:bottom w:val="single" w:sz="6" w:space="0" w:color="E6E6E6"/>
              <w:right w:val="single" w:sz="6" w:space="0" w:color="E6E6E6"/>
            </w:tcBorders>
            <w:vAlign w:val="center"/>
            <w:hideMark/>
          </w:tcPr>
          <w:p w14:paraId="74BBA005"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66%</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5CF6D620"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69%</w:t>
            </w:r>
          </w:p>
        </w:tc>
        <w:tc>
          <w:tcPr>
            <w:tcW w:w="1336" w:type="dxa"/>
            <w:tcBorders>
              <w:top w:val="single" w:sz="6" w:space="0" w:color="E6E6E6"/>
              <w:left w:val="single" w:sz="6" w:space="0" w:color="E6E6E6"/>
              <w:bottom w:val="single" w:sz="6" w:space="0" w:color="E6E6E6"/>
              <w:right w:val="single" w:sz="6" w:space="0" w:color="E6E6E6"/>
            </w:tcBorders>
            <w:vAlign w:val="center"/>
            <w:hideMark/>
          </w:tcPr>
          <w:p w14:paraId="048182A3"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59%</w:t>
            </w:r>
          </w:p>
        </w:tc>
        <w:tc>
          <w:tcPr>
            <w:tcW w:w="1321" w:type="dxa"/>
            <w:tcBorders>
              <w:top w:val="single" w:sz="6" w:space="0" w:color="E6E6E6"/>
              <w:left w:val="single" w:sz="6" w:space="0" w:color="E6E6E6"/>
              <w:bottom w:val="single" w:sz="6" w:space="0" w:color="E6E6E6"/>
              <w:right w:val="single" w:sz="6" w:space="0" w:color="E6E6E6"/>
            </w:tcBorders>
            <w:vAlign w:val="center"/>
            <w:hideMark/>
          </w:tcPr>
          <w:p w14:paraId="777D681A"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63%</w:t>
            </w:r>
          </w:p>
        </w:tc>
      </w:tr>
    </w:tbl>
    <w:p w14:paraId="74BC3D38" w14:textId="07D5D683" w:rsidR="001E632E" w:rsidRPr="001E632E" w:rsidRDefault="001E632E" w:rsidP="001E632E">
      <w:pPr>
        <w:spacing w:before="100" w:beforeAutospacing="1" w:after="100" w:afterAutospacing="1" w:line="300" w:lineRule="atLeast"/>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Key Stage 2 Greater Depth Outcomes</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4824"/>
        <w:gridCol w:w="2191"/>
        <w:gridCol w:w="2191"/>
      </w:tblGrid>
      <w:tr w:rsidR="001E632E" w:rsidRPr="001E632E" w14:paraId="3A5AB2D4" w14:textId="77777777" w:rsidTr="001E632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74859124"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Subject</w:t>
            </w:r>
          </w:p>
        </w:tc>
        <w:tc>
          <w:tcPr>
            <w:tcW w:w="2161"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431DFF66"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All Pupils</w:t>
            </w:r>
          </w:p>
        </w:tc>
        <w:tc>
          <w:tcPr>
            <w:tcW w:w="2146"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70DBC67E" w14:textId="77777777" w:rsidR="001E632E" w:rsidRPr="001E632E" w:rsidRDefault="001E632E" w:rsidP="001E632E">
            <w:pPr>
              <w:spacing w:after="0" w:line="240" w:lineRule="auto"/>
              <w:jc w:val="center"/>
              <w:rPr>
                <w:rFonts w:ascii="Calibri" w:eastAsia="Times New Roman" w:hAnsi="Calibri" w:cs="Calibri"/>
                <w:b/>
                <w:bCs/>
                <w:kern w:val="0"/>
                <w:lang w:eastAsia="en-GB"/>
                <w14:ligatures w14:val="none"/>
              </w:rPr>
            </w:pPr>
            <w:r w:rsidRPr="001E632E">
              <w:rPr>
                <w:rFonts w:ascii="Calibri" w:eastAsia="Times New Roman" w:hAnsi="Calibri" w:cs="Calibri"/>
                <w:b/>
                <w:bCs/>
                <w:kern w:val="0"/>
                <w:lang w:eastAsia="en-GB"/>
                <w14:ligatures w14:val="none"/>
              </w:rPr>
              <w:t>Mainstream Pupils</w:t>
            </w:r>
          </w:p>
        </w:tc>
      </w:tr>
      <w:tr w:rsidR="001E632E" w:rsidRPr="001E632E" w14:paraId="27FE6D43"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B4DCD"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Reading Greater Depth</w:t>
            </w:r>
          </w:p>
        </w:tc>
        <w:tc>
          <w:tcPr>
            <w:tcW w:w="2161" w:type="dxa"/>
            <w:tcBorders>
              <w:top w:val="single" w:sz="6" w:space="0" w:color="E6E6E6"/>
              <w:left w:val="single" w:sz="6" w:space="0" w:color="E6E6E6"/>
              <w:bottom w:val="single" w:sz="6" w:space="0" w:color="E6E6E6"/>
              <w:right w:val="single" w:sz="6" w:space="0" w:color="E6E6E6"/>
            </w:tcBorders>
            <w:vAlign w:val="center"/>
            <w:hideMark/>
          </w:tcPr>
          <w:p w14:paraId="2F3482B2"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24%</w:t>
            </w:r>
          </w:p>
        </w:tc>
        <w:tc>
          <w:tcPr>
            <w:tcW w:w="2146" w:type="dxa"/>
            <w:tcBorders>
              <w:top w:val="single" w:sz="6" w:space="0" w:color="E6E6E6"/>
              <w:left w:val="single" w:sz="6" w:space="0" w:color="E6E6E6"/>
              <w:bottom w:val="single" w:sz="6" w:space="0" w:color="E6E6E6"/>
              <w:right w:val="single" w:sz="6" w:space="0" w:color="E6E6E6"/>
            </w:tcBorders>
            <w:vAlign w:val="center"/>
            <w:hideMark/>
          </w:tcPr>
          <w:p w14:paraId="0C86BC9C"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25%</w:t>
            </w:r>
          </w:p>
        </w:tc>
      </w:tr>
      <w:tr w:rsidR="001E632E" w:rsidRPr="001E632E" w14:paraId="4F63514B"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B26CD8"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Writing Greater Depth</w:t>
            </w:r>
          </w:p>
        </w:tc>
        <w:tc>
          <w:tcPr>
            <w:tcW w:w="2161" w:type="dxa"/>
            <w:tcBorders>
              <w:top w:val="single" w:sz="6" w:space="0" w:color="E6E6E6"/>
              <w:left w:val="single" w:sz="6" w:space="0" w:color="E6E6E6"/>
              <w:bottom w:val="single" w:sz="6" w:space="0" w:color="E6E6E6"/>
              <w:right w:val="single" w:sz="6" w:space="0" w:color="E6E6E6"/>
            </w:tcBorders>
            <w:vAlign w:val="center"/>
            <w:hideMark/>
          </w:tcPr>
          <w:p w14:paraId="66067B93"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5%</w:t>
            </w:r>
          </w:p>
        </w:tc>
        <w:tc>
          <w:tcPr>
            <w:tcW w:w="2146" w:type="dxa"/>
            <w:tcBorders>
              <w:top w:val="single" w:sz="6" w:space="0" w:color="E6E6E6"/>
              <w:left w:val="single" w:sz="6" w:space="0" w:color="E6E6E6"/>
              <w:bottom w:val="single" w:sz="6" w:space="0" w:color="E6E6E6"/>
              <w:right w:val="single" w:sz="6" w:space="0" w:color="E6E6E6"/>
            </w:tcBorders>
            <w:vAlign w:val="center"/>
            <w:hideMark/>
          </w:tcPr>
          <w:p w14:paraId="21BF9FD4"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5%</w:t>
            </w:r>
          </w:p>
        </w:tc>
      </w:tr>
      <w:tr w:rsidR="001E632E" w:rsidRPr="001E632E" w14:paraId="64DC62F1"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29CD0"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Mathematics Greater Depth</w:t>
            </w:r>
          </w:p>
        </w:tc>
        <w:tc>
          <w:tcPr>
            <w:tcW w:w="2161" w:type="dxa"/>
            <w:tcBorders>
              <w:top w:val="single" w:sz="6" w:space="0" w:color="E6E6E6"/>
              <w:left w:val="single" w:sz="6" w:space="0" w:color="E6E6E6"/>
              <w:bottom w:val="single" w:sz="6" w:space="0" w:color="E6E6E6"/>
              <w:right w:val="single" w:sz="6" w:space="0" w:color="E6E6E6"/>
            </w:tcBorders>
            <w:vAlign w:val="center"/>
            <w:hideMark/>
          </w:tcPr>
          <w:p w14:paraId="20B6A6FD"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21%</w:t>
            </w:r>
          </w:p>
        </w:tc>
        <w:tc>
          <w:tcPr>
            <w:tcW w:w="2146" w:type="dxa"/>
            <w:tcBorders>
              <w:top w:val="single" w:sz="6" w:space="0" w:color="E6E6E6"/>
              <w:left w:val="single" w:sz="6" w:space="0" w:color="E6E6E6"/>
              <w:bottom w:val="single" w:sz="6" w:space="0" w:color="E6E6E6"/>
              <w:right w:val="single" w:sz="6" w:space="0" w:color="E6E6E6"/>
            </w:tcBorders>
            <w:vAlign w:val="center"/>
            <w:hideMark/>
          </w:tcPr>
          <w:p w14:paraId="1A310012"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22%</w:t>
            </w:r>
          </w:p>
        </w:tc>
      </w:tr>
      <w:tr w:rsidR="001E632E" w:rsidRPr="001E632E" w14:paraId="380CB5D6" w14:textId="77777777" w:rsidTr="001E6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CC9E6D" w14:textId="77777777" w:rsidR="001E632E" w:rsidRPr="001E632E" w:rsidRDefault="001E632E" w:rsidP="001E632E">
            <w:pPr>
              <w:spacing w:after="0" w:line="240" w:lineRule="auto"/>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Grammar, Punctuation &amp; Spelling Greater Depth</w:t>
            </w:r>
          </w:p>
        </w:tc>
        <w:tc>
          <w:tcPr>
            <w:tcW w:w="2161" w:type="dxa"/>
            <w:tcBorders>
              <w:top w:val="single" w:sz="6" w:space="0" w:color="E6E6E6"/>
              <w:left w:val="single" w:sz="6" w:space="0" w:color="E6E6E6"/>
              <w:bottom w:val="single" w:sz="6" w:space="0" w:color="E6E6E6"/>
              <w:right w:val="single" w:sz="6" w:space="0" w:color="E6E6E6"/>
            </w:tcBorders>
            <w:vAlign w:val="center"/>
            <w:hideMark/>
          </w:tcPr>
          <w:p w14:paraId="45E6A47F"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37%</w:t>
            </w:r>
          </w:p>
        </w:tc>
        <w:tc>
          <w:tcPr>
            <w:tcW w:w="2146" w:type="dxa"/>
            <w:tcBorders>
              <w:top w:val="single" w:sz="6" w:space="0" w:color="E6E6E6"/>
              <w:left w:val="single" w:sz="6" w:space="0" w:color="E6E6E6"/>
              <w:bottom w:val="single" w:sz="6" w:space="0" w:color="E6E6E6"/>
              <w:right w:val="single" w:sz="6" w:space="0" w:color="E6E6E6"/>
            </w:tcBorders>
            <w:vAlign w:val="center"/>
            <w:hideMark/>
          </w:tcPr>
          <w:p w14:paraId="3C41815E" w14:textId="77777777" w:rsidR="001E632E" w:rsidRPr="001E632E" w:rsidRDefault="001E632E" w:rsidP="001E632E">
            <w:pPr>
              <w:spacing w:after="0" w:line="240" w:lineRule="auto"/>
              <w:jc w:val="center"/>
              <w:rPr>
                <w:rFonts w:ascii="Calibri" w:eastAsia="Times New Roman" w:hAnsi="Calibri" w:cs="Calibri"/>
                <w:kern w:val="0"/>
                <w:lang w:eastAsia="en-GB"/>
                <w14:ligatures w14:val="none"/>
              </w:rPr>
            </w:pPr>
            <w:r w:rsidRPr="001E632E">
              <w:rPr>
                <w:rFonts w:ascii="Calibri" w:eastAsia="Times New Roman" w:hAnsi="Calibri" w:cs="Calibri"/>
                <w:kern w:val="0"/>
                <w:lang w:eastAsia="en-GB"/>
                <w14:ligatures w14:val="none"/>
              </w:rPr>
              <w:t>39%</w:t>
            </w:r>
          </w:p>
        </w:tc>
      </w:tr>
    </w:tbl>
    <w:p w14:paraId="11FD784E" w14:textId="2BAF92A3" w:rsidR="001E632E" w:rsidRP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lastRenderedPageBreak/>
        <w:t>Grammar, Punctuation and Spelling was a particular strength, with over one-third of pupils achieving the higher standard. </w:t>
      </w:r>
      <w:r w:rsidRPr="001E632E">
        <w:rPr>
          <w:rFonts w:ascii="Calibri" w:eastAsia="Times New Roman" w:hAnsi="Calibri" w:cs="Calibri"/>
          <w:color w:val="000000"/>
          <w:kern w:val="0"/>
          <w:lang w:eastAsia="en-GB"/>
          <w14:ligatures w14:val="none"/>
        </w:rPr>
        <w:t xml:space="preserve"> </w:t>
      </w:r>
    </w:p>
    <w:p w14:paraId="612EB542" w14:textId="21B5E750" w:rsidR="001E632E" w:rsidRPr="001E632E" w:rsidRDefault="001E632E" w:rsidP="001E632E">
      <w:pPr>
        <w:spacing w:before="100" w:beforeAutospacing="1" w:after="100" w:afterAutospacing="1" w:line="300" w:lineRule="atLeast"/>
        <w:outlineLvl w:val="1"/>
        <w:rPr>
          <w:rFonts w:ascii="Calibri" w:eastAsia="Times New Roman" w:hAnsi="Calibri" w:cs="Calibri"/>
          <w:b/>
          <w:bCs/>
          <w:color w:val="000000"/>
          <w:kern w:val="0"/>
          <w:lang w:eastAsia="en-GB"/>
          <w14:ligatures w14:val="none"/>
        </w:rPr>
      </w:pPr>
      <w:r w:rsidRPr="001E632E">
        <w:rPr>
          <w:rFonts w:ascii="Calibri" w:eastAsia="Times New Roman" w:hAnsi="Calibri" w:cs="Calibri"/>
          <w:b/>
          <w:bCs/>
          <w:color w:val="000000"/>
          <w:kern w:val="0"/>
          <w:lang w:eastAsia="en-GB"/>
          <w14:ligatures w14:val="none"/>
        </w:rPr>
        <w:t>Multiplication Tables Check (Year 4)</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3820"/>
        <w:gridCol w:w="2622"/>
        <w:gridCol w:w="2622"/>
      </w:tblGrid>
      <w:tr w:rsidR="001E632E" w:rsidRPr="001E632E" w14:paraId="3760DE25" w14:textId="77777777" w:rsidTr="001E632E">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57EC90B9" w14:textId="6DEE6513" w:rsidR="001E632E" w:rsidRPr="001E632E" w:rsidRDefault="001E632E">
            <w:pPr>
              <w:jc w:val="center"/>
              <w:rPr>
                <w:rFonts w:ascii="Calibri" w:hAnsi="Calibri" w:cs="Calibri"/>
                <w:b/>
                <w:bCs/>
              </w:rPr>
            </w:pPr>
          </w:p>
        </w:tc>
        <w:tc>
          <w:tcPr>
            <w:tcW w:w="2592"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2978EAB1" w14:textId="77777777" w:rsidR="001E632E" w:rsidRPr="001E632E" w:rsidRDefault="001E632E">
            <w:pPr>
              <w:jc w:val="center"/>
              <w:rPr>
                <w:rFonts w:ascii="Calibri" w:hAnsi="Calibri" w:cs="Calibri"/>
                <w:b/>
                <w:bCs/>
              </w:rPr>
            </w:pPr>
            <w:r w:rsidRPr="001E632E">
              <w:rPr>
                <w:rFonts w:ascii="Calibri" w:hAnsi="Calibri" w:cs="Calibri"/>
                <w:b/>
                <w:bCs/>
              </w:rPr>
              <w:t>School</w:t>
            </w:r>
          </w:p>
        </w:tc>
        <w:tc>
          <w:tcPr>
            <w:tcW w:w="2577" w:type="dxa"/>
            <w:tcBorders>
              <w:top w:val="single" w:sz="6" w:space="0" w:color="E6E6E6"/>
              <w:left w:val="single" w:sz="6" w:space="0" w:color="E6E6E6"/>
              <w:bottom w:val="single" w:sz="6" w:space="0" w:color="E6E6E6"/>
              <w:right w:val="single" w:sz="6" w:space="0" w:color="E6E6E6"/>
            </w:tcBorders>
            <w:shd w:val="clear" w:color="auto" w:fill="92D050"/>
            <w:vAlign w:val="center"/>
            <w:hideMark/>
          </w:tcPr>
          <w:p w14:paraId="1ED047D8" w14:textId="77777777" w:rsidR="001E632E" w:rsidRPr="001E632E" w:rsidRDefault="001E632E">
            <w:pPr>
              <w:jc w:val="center"/>
              <w:rPr>
                <w:rFonts w:ascii="Calibri" w:hAnsi="Calibri" w:cs="Calibri"/>
                <w:b/>
                <w:bCs/>
              </w:rPr>
            </w:pPr>
            <w:r w:rsidRPr="001E632E">
              <w:rPr>
                <w:rFonts w:ascii="Calibri" w:hAnsi="Calibri" w:cs="Calibri"/>
                <w:b/>
                <w:bCs/>
              </w:rPr>
              <w:t>National</w:t>
            </w:r>
          </w:p>
        </w:tc>
      </w:tr>
      <w:tr w:rsidR="001E632E" w:rsidRPr="001E632E" w14:paraId="009B842D" w14:textId="77777777" w:rsidTr="001E632E">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1A36FF85" w14:textId="763FD101" w:rsidR="001E632E" w:rsidRPr="001E632E" w:rsidRDefault="001E632E">
            <w:pPr>
              <w:rPr>
                <w:rFonts w:ascii="Calibri" w:hAnsi="Calibri" w:cs="Calibri"/>
              </w:rPr>
            </w:pPr>
            <w:r w:rsidRPr="001E632E">
              <w:rPr>
                <w:rFonts w:ascii="Calibri" w:hAnsi="Calibri" w:cs="Calibri"/>
              </w:rPr>
              <w:t>Expected Standard</w:t>
            </w:r>
            <w:r w:rsidRPr="001E632E">
              <w:rPr>
                <w:rFonts w:ascii="Calibri" w:hAnsi="Calibri" w:cs="Calibri"/>
              </w:rPr>
              <w:t xml:space="preserve"> (25)</w:t>
            </w:r>
          </w:p>
        </w:tc>
        <w:tc>
          <w:tcPr>
            <w:tcW w:w="2592" w:type="dxa"/>
            <w:tcBorders>
              <w:top w:val="single" w:sz="6" w:space="0" w:color="E6E6E6"/>
              <w:left w:val="single" w:sz="6" w:space="0" w:color="E6E6E6"/>
              <w:bottom w:val="single" w:sz="6" w:space="0" w:color="E6E6E6"/>
              <w:right w:val="single" w:sz="6" w:space="0" w:color="E6E6E6"/>
            </w:tcBorders>
            <w:vAlign w:val="center"/>
            <w:hideMark/>
          </w:tcPr>
          <w:p w14:paraId="4AF54F22" w14:textId="77777777" w:rsidR="001E632E" w:rsidRPr="001E632E" w:rsidRDefault="001E632E" w:rsidP="001E632E">
            <w:pPr>
              <w:jc w:val="center"/>
              <w:rPr>
                <w:rFonts w:ascii="Calibri" w:hAnsi="Calibri" w:cs="Calibri"/>
                <w:b/>
                <w:bCs/>
              </w:rPr>
            </w:pPr>
            <w:r w:rsidRPr="001E632E">
              <w:rPr>
                <w:rStyle w:val="Strong"/>
                <w:rFonts w:ascii="Calibri" w:hAnsi="Calibri" w:cs="Calibri"/>
                <w:b w:val="0"/>
                <w:bCs w:val="0"/>
              </w:rPr>
              <w:t>45%</w:t>
            </w:r>
          </w:p>
        </w:tc>
        <w:tc>
          <w:tcPr>
            <w:tcW w:w="2577" w:type="dxa"/>
            <w:tcBorders>
              <w:top w:val="single" w:sz="6" w:space="0" w:color="E6E6E6"/>
              <w:left w:val="single" w:sz="6" w:space="0" w:color="E6E6E6"/>
              <w:bottom w:val="single" w:sz="6" w:space="0" w:color="E6E6E6"/>
              <w:right w:val="single" w:sz="6" w:space="0" w:color="E6E6E6"/>
            </w:tcBorders>
            <w:vAlign w:val="center"/>
            <w:hideMark/>
          </w:tcPr>
          <w:p w14:paraId="3FE99F92" w14:textId="77777777" w:rsidR="001E632E" w:rsidRPr="001E632E" w:rsidRDefault="001E632E" w:rsidP="001E632E">
            <w:pPr>
              <w:jc w:val="center"/>
              <w:rPr>
                <w:rFonts w:ascii="Calibri" w:hAnsi="Calibri" w:cs="Calibri"/>
                <w:b/>
                <w:bCs/>
              </w:rPr>
            </w:pPr>
            <w:r w:rsidRPr="001E632E">
              <w:rPr>
                <w:rStyle w:val="Strong"/>
                <w:rFonts w:ascii="Calibri" w:hAnsi="Calibri" w:cs="Calibri"/>
                <w:b w:val="0"/>
                <w:bCs w:val="0"/>
              </w:rPr>
              <w:t>44%</w:t>
            </w:r>
          </w:p>
        </w:tc>
      </w:tr>
      <w:tr w:rsidR="001E632E" w:rsidRPr="001E632E" w14:paraId="220A119A" w14:textId="77777777" w:rsidTr="001E632E">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692A678B" w14:textId="77777777" w:rsidR="001E632E" w:rsidRPr="001E632E" w:rsidRDefault="001E632E">
            <w:pPr>
              <w:rPr>
                <w:rFonts w:ascii="Calibri" w:hAnsi="Calibri" w:cs="Calibri"/>
              </w:rPr>
            </w:pPr>
            <w:r w:rsidRPr="001E632E">
              <w:rPr>
                <w:rFonts w:ascii="Calibri" w:hAnsi="Calibri" w:cs="Calibri"/>
              </w:rPr>
              <w:t>Mainstream Expected Standard</w:t>
            </w:r>
          </w:p>
        </w:tc>
        <w:tc>
          <w:tcPr>
            <w:tcW w:w="2592" w:type="dxa"/>
            <w:tcBorders>
              <w:top w:val="single" w:sz="6" w:space="0" w:color="E6E6E6"/>
              <w:left w:val="single" w:sz="6" w:space="0" w:color="E6E6E6"/>
              <w:bottom w:val="single" w:sz="6" w:space="0" w:color="E6E6E6"/>
              <w:right w:val="single" w:sz="6" w:space="0" w:color="E6E6E6"/>
            </w:tcBorders>
            <w:vAlign w:val="center"/>
            <w:hideMark/>
          </w:tcPr>
          <w:p w14:paraId="1AD33E5A" w14:textId="77777777" w:rsidR="001E632E" w:rsidRPr="001E632E" w:rsidRDefault="001E632E" w:rsidP="001E632E">
            <w:pPr>
              <w:jc w:val="center"/>
              <w:rPr>
                <w:rFonts w:ascii="Calibri" w:hAnsi="Calibri" w:cs="Calibri"/>
                <w:b/>
                <w:bCs/>
              </w:rPr>
            </w:pPr>
            <w:r w:rsidRPr="001E632E">
              <w:rPr>
                <w:rStyle w:val="Strong"/>
                <w:rFonts w:ascii="Calibri" w:hAnsi="Calibri" w:cs="Calibri"/>
                <w:b w:val="0"/>
                <w:bCs w:val="0"/>
              </w:rPr>
              <w:t>49%</w:t>
            </w:r>
          </w:p>
        </w:tc>
        <w:tc>
          <w:tcPr>
            <w:tcW w:w="2577" w:type="dxa"/>
            <w:tcBorders>
              <w:top w:val="single" w:sz="6" w:space="0" w:color="E6E6E6"/>
              <w:left w:val="single" w:sz="6" w:space="0" w:color="E6E6E6"/>
              <w:bottom w:val="single" w:sz="6" w:space="0" w:color="E6E6E6"/>
              <w:right w:val="single" w:sz="6" w:space="0" w:color="E6E6E6"/>
            </w:tcBorders>
            <w:vAlign w:val="center"/>
            <w:hideMark/>
          </w:tcPr>
          <w:p w14:paraId="350BD57E" w14:textId="77777777" w:rsidR="001E632E" w:rsidRPr="001E632E" w:rsidRDefault="001E632E" w:rsidP="001E632E">
            <w:pPr>
              <w:jc w:val="center"/>
              <w:rPr>
                <w:rFonts w:ascii="Calibri" w:hAnsi="Calibri" w:cs="Calibri"/>
                <w:b/>
                <w:bCs/>
              </w:rPr>
            </w:pPr>
            <w:r w:rsidRPr="001E632E">
              <w:rPr>
                <w:rStyle w:val="Strong"/>
                <w:rFonts w:ascii="Calibri" w:hAnsi="Calibri" w:cs="Calibri"/>
                <w:b w:val="0"/>
                <w:bCs w:val="0"/>
              </w:rPr>
              <w:t>44%</w:t>
            </w:r>
          </w:p>
        </w:tc>
      </w:tr>
    </w:tbl>
    <w:p w14:paraId="5B6CB9BC" w14:textId="5B5E74C2" w:rsidR="001E632E" w:rsidRP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t xml:space="preserve"> </w:t>
      </w:r>
      <w:r w:rsidRPr="001E632E">
        <w:rPr>
          <w:rFonts w:ascii="Calibri" w:eastAsia="Times New Roman" w:hAnsi="Calibri" w:cs="Calibri"/>
          <w:color w:val="000000"/>
          <w:kern w:val="0"/>
          <w:lang w:eastAsia="en-GB"/>
          <w14:ligatures w14:val="none"/>
        </w:rPr>
        <w:t>Pupils achieved above the national average in the Multiplication Tables Check. </w:t>
      </w:r>
      <w:r w:rsidRPr="001E632E">
        <w:rPr>
          <w:rFonts w:ascii="Calibri" w:eastAsia="Times New Roman" w:hAnsi="Calibri" w:cs="Calibri"/>
          <w:color w:val="000000"/>
          <w:kern w:val="0"/>
          <w:lang w:eastAsia="en-GB"/>
          <w14:ligatures w14:val="none"/>
        </w:rPr>
        <w:t xml:space="preserve"> </w:t>
      </w:r>
    </w:p>
    <w:p w14:paraId="7B987152" w14:textId="09D56A5F" w:rsidR="001E632E" w:rsidRPr="001E632E" w:rsidRDefault="001E632E" w:rsidP="001E632E">
      <w:pPr>
        <w:spacing w:before="100" w:beforeAutospacing="1" w:after="100" w:afterAutospacing="1" w:line="300" w:lineRule="atLeast"/>
        <w:rPr>
          <w:rFonts w:ascii="Calibri" w:eastAsia="Times New Roman" w:hAnsi="Calibri" w:cs="Calibri"/>
          <w:color w:val="000000"/>
          <w:kern w:val="0"/>
          <w:lang w:eastAsia="en-GB"/>
          <w14:ligatures w14:val="none"/>
        </w:rPr>
      </w:pPr>
      <w:r w:rsidRPr="001E632E">
        <w:rPr>
          <w:rFonts w:ascii="Calibri" w:eastAsia="Times New Roman" w:hAnsi="Calibri" w:cs="Calibri"/>
          <w:color w:val="000000"/>
          <w:kern w:val="0"/>
          <w:lang w:eastAsia="en-GB"/>
          <w14:ligatures w14:val="none"/>
        </w:rPr>
        <w:t>For fu</w:t>
      </w:r>
      <w:r>
        <w:rPr>
          <w:rFonts w:ascii="Calibri" w:eastAsia="Times New Roman" w:hAnsi="Calibri" w:cs="Calibri"/>
          <w:color w:val="000000"/>
          <w:kern w:val="0"/>
          <w:lang w:eastAsia="en-GB"/>
          <w14:ligatures w14:val="none"/>
        </w:rPr>
        <w:t>r</w:t>
      </w:r>
      <w:r w:rsidRPr="001E632E">
        <w:rPr>
          <w:rFonts w:ascii="Calibri" w:eastAsia="Times New Roman" w:hAnsi="Calibri" w:cs="Calibri"/>
          <w:color w:val="000000"/>
          <w:kern w:val="0"/>
          <w:lang w:eastAsia="en-GB"/>
          <w14:ligatures w14:val="none"/>
        </w:rPr>
        <w:t>ther information about school performance measures, please visit the Department for Education's Compare School Performance website.</w:t>
      </w:r>
    </w:p>
    <w:p w14:paraId="2F45AADD" w14:textId="77777777" w:rsidR="001E632E" w:rsidRPr="001E632E" w:rsidRDefault="001E632E">
      <w:pPr>
        <w:rPr>
          <w:rFonts w:ascii="Calibri" w:hAnsi="Calibri" w:cs="Calibri"/>
        </w:rPr>
      </w:pPr>
    </w:p>
    <w:sectPr w:rsidR="001E632E" w:rsidRPr="001E632E" w:rsidSect="001E63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32E"/>
    <w:rsid w:val="001E632E"/>
    <w:rsid w:val="001F2C32"/>
    <w:rsid w:val="00C45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D391"/>
  <w15:chartTrackingRefBased/>
  <w15:docId w15:val="{F5B5C971-AF3B-C245-9A56-E6301258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6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3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3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3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3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3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3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3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3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63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3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3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3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3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3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3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32E"/>
    <w:rPr>
      <w:rFonts w:eastAsiaTheme="majorEastAsia" w:cstheme="majorBidi"/>
      <w:color w:val="272727" w:themeColor="text1" w:themeTint="D8"/>
    </w:rPr>
  </w:style>
  <w:style w:type="paragraph" w:styleId="Title">
    <w:name w:val="Title"/>
    <w:basedOn w:val="Normal"/>
    <w:next w:val="Normal"/>
    <w:link w:val="TitleChar"/>
    <w:uiPriority w:val="10"/>
    <w:qFormat/>
    <w:rsid w:val="001E6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3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3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3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32E"/>
    <w:pPr>
      <w:spacing w:before="160"/>
      <w:jc w:val="center"/>
    </w:pPr>
    <w:rPr>
      <w:i/>
      <w:iCs/>
      <w:color w:val="404040" w:themeColor="text1" w:themeTint="BF"/>
    </w:rPr>
  </w:style>
  <w:style w:type="character" w:customStyle="1" w:styleId="QuoteChar">
    <w:name w:val="Quote Char"/>
    <w:basedOn w:val="DefaultParagraphFont"/>
    <w:link w:val="Quote"/>
    <w:uiPriority w:val="29"/>
    <w:rsid w:val="001E632E"/>
    <w:rPr>
      <w:i/>
      <w:iCs/>
      <w:color w:val="404040" w:themeColor="text1" w:themeTint="BF"/>
    </w:rPr>
  </w:style>
  <w:style w:type="paragraph" w:styleId="ListParagraph">
    <w:name w:val="List Paragraph"/>
    <w:basedOn w:val="Normal"/>
    <w:uiPriority w:val="34"/>
    <w:qFormat/>
    <w:rsid w:val="001E632E"/>
    <w:pPr>
      <w:ind w:left="720"/>
      <w:contextualSpacing/>
    </w:pPr>
  </w:style>
  <w:style w:type="character" w:styleId="IntenseEmphasis">
    <w:name w:val="Intense Emphasis"/>
    <w:basedOn w:val="DefaultParagraphFont"/>
    <w:uiPriority w:val="21"/>
    <w:qFormat/>
    <w:rsid w:val="001E632E"/>
    <w:rPr>
      <w:i/>
      <w:iCs/>
      <w:color w:val="0F4761" w:themeColor="accent1" w:themeShade="BF"/>
    </w:rPr>
  </w:style>
  <w:style w:type="paragraph" w:styleId="IntenseQuote">
    <w:name w:val="Intense Quote"/>
    <w:basedOn w:val="Normal"/>
    <w:next w:val="Normal"/>
    <w:link w:val="IntenseQuoteChar"/>
    <w:uiPriority w:val="30"/>
    <w:qFormat/>
    <w:rsid w:val="001E6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32E"/>
    <w:rPr>
      <w:i/>
      <w:iCs/>
      <w:color w:val="0F4761" w:themeColor="accent1" w:themeShade="BF"/>
    </w:rPr>
  </w:style>
  <w:style w:type="character" w:styleId="IntenseReference">
    <w:name w:val="Intense Reference"/>
    <w:basedOn w:val="DefaultParagraphFont"/>
    <w:uiPriority w:val="32"/>
    <w:qFormat/>
    <w:rsid w:val="001E632E"/>
    <w:rPr>
      <w:b/>
      <w:bCs/>
      <w:smallCaps/>
      <w:color w:val="0F4761" w:themeColor="accent1" w:themeShade="BF"/>
      <w:spacing w:val="5"/>
    </w:rPr>
  </w:style>
  <w:style w:type="paragraph" w:styleId="NormalWeb">
    <w:name w:val="Normal (Web)"/>
    <w:basedOn w:val="Normal"/>
    <w:uiPriority w:val="99"/>
    <w:semiHidden/>
    <w:unhideWhenUsed/>
    <w:rsid w:val="001E632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E632E"/>
  </w:style>
  <w:style w:type="character" w:styleId="Strong">
    <w:name w:val="Strong"/>
    <w:basedOn w:val="DefaultParagraphFont"/>
    <w:uiPriority w:val="22"/>
    <w:qFormat/>
    <w:rsid w:val="001E632E"/>
    <w:rPr>
      <w:b/>
      <w:bCs/>
    </w:rPr>
  </w:style>
  <w:style w:type="character" w:styleId="Hyperlink">
    <w:name w:val="Hyperlink"/>
    <w:basedOn w:val="DefaultParagraphFont"/>
    <w:uiPriority w:val="99"/>
    <w:semiHidden/>
    <w:unhideWhenUsed/>
    <w:rsid w:val="001E63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Tegerdine AG</dc:creator>
  <cp:keywords/>
  <dc:description/>
  <cp:lastModifiedBy>Jenny Tegerdine AG</cp:lastModifiedBy>
  <cp:revision>2</cp:revision>
  <dcterms:created xsi:type="dcterms:W3CDTF">2026-09-29T21:23:00Z</dcterms:created>
  <dcterms:modified xsi:type="dcterms:W3CDTF">2026-09-29T21:23:00Z</dcterms:modified>
</cp:coreProperties>
</file>